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851"/>
      </w:tblGrid>
      <w:tr w:rsidR="00B92D0F" w14:paraId="071205E9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B88B845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+*xfs*pvs*Akl*cvA*xBj*uCi*voE*cEE*ctk*CcE*pBk*-</w:t>
            </w:r>
            <w:r>
              <w:rPr>
                <w:rFonts w:ascii="PDF417x" w:hAnsi="PDF417x"/>
                <w:sz w:val="24"/>
                <w:szCs w:val="24"/>
              </w:rPr>
              <w:br/>
              <w:t>+*yqw*ziF*vja*dyD*ugB*dzb*khx*wgu*mwc*uyb*zew*-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+*eDs*dbk*lyd*lyd*lyd*Efs*rla*jsx*bmC*udz*zfE*-</w:t>
            </w:r>
            <w:r>
              <w:rPr>
                <w:rFonts w:ascii="PDF417x" w:hAnsi="PDF417x"/>
                <w:sz w:val="24"/>
                <w:szCs w:val="24"/>
              </w:rPr>
              <w:br/>
              <w:t>+*ftw*aac*Bnc*lsu*iwk*aaB*ofA*tnb*kqi*Alq*onA*-</w:t>
            </w:r>
            <w:r>
              <w:rPr>
                <w:rFonts w:ascii="PDF417x" w:hAnsi="PDF417x"/>
                <w:sz w:val="24"/>
                <w:szCs w:val="24"/>
              </w:rPr>
              <w:br/>
              <w:t>+*ftA*wvE*snB*kfv*wFq*wFq*srg*vDv*arw*sFl*uws*-</w:t>
            </w:r>
            <w:r>
              <w:rPr>
                <w:rFonts w:ascii="PDF417x" w:hAnsi="PDF417x"/>
                <w:sz w:val="24"/>
                <w:szCs w:val="24"/>
              </w:rPr>
              <w:br/>
              <w:t>+*xjq*Dds*jBE*ylt*Bwv*aFs*noi*BtD*jqE*ujl*uzq*-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5A84768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9798320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4D4E1F87" w14:textId="77777777" w:rsidTr="00D72883">
        <w:trPr>
          <w:trHeight w:val="1152"/>
        </w:trPr>
        <w:tc>
          <w:tcPr>
            <w:tcW w:w="1008" w:type="dxa"/>
          </w:tcPr>
          <w:p w14:paraId="43C82005" w14:textId="77777777" w:rsidR="005B4DA0" w:rsidRDefault="005B4DA0" w:rsidP="00D72883"/>
        </w:tc>
        <w:tc>
          <w:tcPr>
            <w:tcW w:w="5130" w:type="dxa"/>
          </w:tcPr>
          <w:p w14:paraId="6F814557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7E5214BD" wp14:editId="2DF290DF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6AAEA614" w14:textId="77777777" w:rsidTr="00D72883">
        <w:tc>
          <w:tcPr>
            <w:tcW w:w="1008" w:type="dxa"/>
          </w:tcPr>
          <w:p w14:paraId="491C60E0" w14:textId="77777777" w:rsidR="005B4DA0" w:rsidRDefault="005B4DA0" w:rsidP="00D72883">
            <w:r>
              <w:drawing>
                <wp:inline distT="0" distB="0" distL="0" distR="0" wp14:anchorId="4DAC7861" wp14:editId="6C92F202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60BD3B41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56970A33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7B6F1B58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GRAD ČAZMA</w:t>
            </w:r>
          </w:p>
          <w:p w14:paraId="7078F07C" w14:textId="77777777" w:rsidR="005B4DA0" w:rsidRDefault="005B4DA0" w:rsidP="00D72883">
            <w:pPr>
              <w:jc w:val="center"/>
              <w:rPr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GRADONAČELNI</w:t>
            </w:r>
            <w:r w:rsidR="00E42407">
              <w:rPr>
                <w:rFonts w:ascii="Times New Roman" w:hAnsi="Times New Roman" w:cs="Times New Roman"/>
                <w:b/>
              </w:rPr>
              <w:t>CA</w:t>
            </w:r>
          </w:p>
        </w:tc>
      </w:tr>
    </w:tbl>
    <w:p w14:paraId="49262FC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904797A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BB52B64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04E6EA7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BF7AF8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8164E26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AC0DBC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3BD12B4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78344F5" w14:textId="657FCD37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51F91C02" w14:textId="1DF89BDA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5CB44A9F" w14:textId="40CCB2F5" w:rsidR="00B92D0F" w:rsidRPr="007A6BD9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A0402E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________________</w:t>
      </w:r>
    </w:p>
    <w:p w14:paraId="0B9FA40F" w14:textId="77777777" w:rsidR="00B92D0F" w:rsidRPr="007A6BD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06659551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0A8F03" w14:textId="69C2A7BC" w:rsidR="00BA0B4C" w:rsidRPr="00BA0B4C" w:rsidRDefault="00BA0B4C" w:rsidP="00BA0B4C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ab/>
      </w:r>
      <w:r w:rsidRPr="00BA0B4C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Temeljem članka 66. st. 3 Zakona o proračunu („Narodne novine“, broj: 144/21), članka</w:t>
      </w:r>
      <w:r w:rsidR="00616DE7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18</w:t>
      </w:r>
      <w:r w:rsidRPr="00BA0B4C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. Odluke o izvršavanju Proračuna Grada Čazme (Službeni vjesnik Grada Čazme, broj  100/24.) i 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članka 50. Statuta Grada Čazme  (Službeni </w:t>
      </w:r>
      <w:r w:rsidRPr="00BA0B4C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vjesnik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Grada Čazme, broj  13/21, 39/25), podnosim</w:t>
      </w:r>
    </w:p>
    <w:p w14:paraId="481D4C84" w14:textId="77777777" w:rsidR="00BA0B4C" w:rsidRPr="00BA0B4C" w:rsidRDefault="00BA0B4C" w:rsidP="00BA0B4C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270D497C" w14:textId="77777777" w:rsidR="00BA0B4C" w:rsidRPr="00BA0B4C" w:rsidRDefault="00BA0B4C" w:rsidP="00BA0B4C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BA0B4C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I Z V J E Š Ć E </w:t>
      </w:r>
    </w:p>
    <w:p w14:paraId="43C8D23E" w14:textId="77777777" w:rsidR="00BA0B4C" w:rsidRPr="00BA0B4C" w:rsidRDefault="00BA0B4C" w:rsidP="00BA0B4C">
      <w:pPr>
        <w:jc w:val="center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BA0B4C">
        <w:rPr>
          <w:rFonts w:ascii="Times New Roman" w:eastAsia="Times New Roman" w:hAnsi="Times New Roman" w:cs="Times New Roman"/>
          <w:noProof w:val="0"/>
          <w:sz w:val="24"/>
          <w:szCs w:val="24"/>
        </w:rPr>
        <w:t>o korištenju sredstava Proračunske zalihe Proračuna Grada Čazme</w:t>
      </w:r>
    </w:p>
    <w:p w14:paraId="0A367735" w14:textId="77777777" w:rsidR="00BA0B4C" w:rsidRPr="00BA0B4C" w:rsidRDefault="00BA0B4C" w:rsidP="00BA0B4C">
      <w:pPr>
        <w:jc w:val="center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BA0B4C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za razdoblje siječanj - prosinac 2025. godine</w:t>
      </w:r>
    </w:p>
    <w:p w14:paraId="6687E832" w14:textId="77777777" w:rsidR="00BA0B4C" w:rsidRPr="00BA0B4C" w:rsidRDefault="00BA0B4C" w:rsidP="00BA0B4C">
      <w:pPr>
        <w:jc w:val="center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06E3ABFF" w14:textId="77777777" w:rsidR="00BA0B4C" w:rsidRPr="00BA0B4C" w:rsidRDefault="00BA0B4C" w:rsidP="00BA0B4C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US" w:eastAsia="en-GB"/>
        </w:rPr>
      </w:pPr>
    </w:p>
    <w:p w14:paraId="674A0357" w14:textId="77777777" w:rsidR="00BA0B4C" w:rsidRPr="00BA0B4C" w:rsidRDefault="00BA0B4C" w:rsidP="00BA0B4C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</w:pP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Člankom 66. stavak 3. Zakona o proračunu propisano je da je gradonačelnik obvezan tromjesečno izvijestiti predstavničko tijelo o korištenju proračunske zalihe. </w:t>
      </w:r>
    </w:p>
    <w:p w14:paraId="1D6F192B" w14:textId="38E79902" w:rsidR="00BA0B4C" w:rsidRDefault="00BA0B4C" w:rsidP="00BA0B4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Člankom 18. Odluke o izvršavanju </w:t>
      </w:r>
      <w:r w:rsidR="00FE7B0F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p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roračuna Grada Čazme za 2025. godinu propisano je da se sredstva koriste za </w:t>
      </w:r>
      <w:r w:rsidRPr="00BA0B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neplanirane ili nedovoljno planirane izdatke do visine određene Zakonom o </w:t>
      </w:r>
      <w:r w:rsidR="00FE7B0F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BA0B4C">
        <w:rPr>
          <w:rFonts w:ascii="Times New Roman" w:eastAsia="Times New Roman" w:hAnsi="Times New Roman" w:cs="Times New Roman"/>
          <w:sz w:val="24"/>
          <w:szCs w:val="24"/>
          <w:lang w:eastAsia="hr-HR"/>
        </w:rPr>
        <w:t>roračunu</w:t>
      </w:r>
      <w:r w:rsidR="000C590E">
        <w:rPr>
          <w:rFonts w:ascii="Times New Roman" w:eastAsia="Times New Roman" w:hAnsi="Times New Roman" w:cs="Times New Roman"/>
          <w:sz w:val="24"/>
          <w:szCs w:val="24"/>
          <w:lang w:eastAsia="hr-HR"/>
        </w:rPr>
        <w:t>, a iznose najviše</w:t>
      </w:r>
      <w:r w:rsidRPr="00BA0B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 0,5% prihoda </w:t>
      </w:r>
      <w:r w:rsidR="00FE7B0F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BA0B4C">
        <w:rPr>
          <w:rFonts w:ascii="Times New Roman" w:eastAsia="Times New Roman" w:hAnsi="Times New Roman" w:cs="Times New Roman"/>
          <w:sz w:val="24"/>
          <w:szCs w:val="24"/>
          <w:lang w:eastAsia="hr-HR"/>
        </w:rPr>
        <w:t>roračuna bez primitaka.</w:t>
      </w:r>
    </w:p>
    <w:p w14:paraId="15E0DD3F" w14:textId="77777777" w:rsidR="004977D2" w:rsidRDefault="004977D2" w:rsidP="00BA0B4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62477FC" w14:textId="7A1B5E81" w:rsidR="004977D2" w:rsidRPr="00BA0B4C" w:rsidRDefault="004977D2" w:rsidP="004977D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</w:pP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Sredstva za korištenje proračunske zalihe Proračuna Grada Čazme za 2025. godinu planirana su u Razdjelu 003 –</w:t>
      </w:r>
      <w:r w:rsidR="0048791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 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Upravni odjel za društvene djelatnosti, obrazovanje i odnose sa javnošću,  P01 1001A100105 -  Tekuća zaliha proračuna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 u iznosu 4.000,00 EUR.</w:t>
      </w:r>
    </w:p>
    <w:p w14:paraId="4E5FA407" w14:textId="77777777" w:rsidR="004977D2" w:rsidRDefault="004977D2" w:rsidP="00BA0B4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46FB1D7" w14:textId="77777777" w:rsidR="00616DE7" w:rsidRPr="00BA0B4C" w:rsidRDefault="00616DE7" w:rsidP="00BA0B4C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4A254410" w14:textId="2EE77704" w:rsidR="00BA0B4C" w:rsidRPr="00BA0B4C" w:rsidRDefault="00BA0B4C" w:rsidP="00BA0B4C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</w:pP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O korištenju proračunske zalihe odlučuje Gradonačelnik i to u 2025. godini, sukladno usvojenom Proračunu Grada Čazme za 2025. godinu (Službeni vjesnik Grada Čazme, broj</w:t>
      </w:r>
      <w:r w:rsidR="00616DE7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 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100/24.)</w:t>
      </w:r>
      <w:r w:rsidR="004977D2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.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 </w:t>
      </w:r>
    </w:p>
    <w:p w14:paraId="292FA2F6" w14:textId="77777777" w:rsidR="00BA0B4C" w:rsidRPr="00BA0B4C" w:rsidRDefault="00BA0B4C" w:rsidP="00BA0B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</w:pPr>
    </w:p>
    <w:p w14:paraId="058256CA" w14:textId="08517028" w:rsidR="00D707B3" w:rsidRPr="00BA0B4C" w:rsidRDefault="00BA0B4C" w:rsidP="00BA0B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</w:pP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U razdoblju od 01. siječnja do 31.12.2025.  godine u okviru navedene aktivnosti nis</w:t>
      </w:r>
      <w:r w:rsidR="00616DE7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u bila 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kori</w:t>
      </w:r>
      <w:r w:rsidR="00616DE7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štena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 sredstva tekuće zalihe proračuna.</w:t>
      </w:r>
    </w:p>
    <w:p w14:paraId="744826AC" w14:textId="77777777" w:rsidR="00D707B3" w:rsidRPr="00BA0B4C" w:rsidRDefault="00D707B3" w:rsidP="00BA0B4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587B4B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7EB11B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5D2FE1" w14:textId="10218560" w:rsidR="00D707B3" w:rsidRPr="007A6BD9" w:rsidRDefault="007A6BD9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hAnsi="Times New Roman" w:cs="Times New Roman"/>
          <w:b/>
          <w:bCs/>
          <w:sz w:val="24"/>
          <w:szCs w:val="24"/>
        </w:rPr>
        <w:t>GRADONAČELNI</w:t>
      </w:r>
      <w:r w:rsidR="00E42407">
        <w:rPr>
          <w:rFonts w:ascii="Times New Roman" w:hAnsi="Times New Roman" w:cs="Times New Roman"/>
          <w:b/>
          <w:bCs/>
          <w:sz w:val="24"/>
          <w:szCs w:val="24"/>
        </w:rPr>
        <w:t>CA</w:t>
      </w:r>
    </w:p>
    <w:p w14:paraId="1C0280C4" w14:textId="77777777" w:rsidR="007A6BD9" w:rsidRPr="007A6BD9" w:rsidRDefault="007A6BD9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7129142" w14:textId="77777777" w:rsidR="007A6BD9" w:rsidRPr="007A6BD9" w:rsidRDefault="007A6BD9" w:rsidP="007A6B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="00E4240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Valentina Čanađija</w:t>
      </w:r>
      <w:r w:rsidRPr="007A6BD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14:paraId="0E5B5158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4C5191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6AE21525" w14:textId="50EACB5F" w:rsidR="00B92D0F" w:rsidRPr="008147D7" w:rsidRDefault="008147D7" w:rsidP="008147D7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8147D7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lastRenderedPageBreak/>
        <w:t>Obrazloženje</w:t>
      </w:r>
    </w:p>
    <w:p w14:paraId="5ABF0114" w14:textId="77777777" w:rsidR="008147D7" w:rsidRDefault="008147D7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6BD5B855" w14:textId="3F579F2C" w:rsidR="008147D7" w:rsidRDefault="008147D7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</w:rPr>
        <w:t>Pravni temelj</w:t>
      </w:r>
    </w:p>
    <w:p w14:paraId="2A73864A" w14:textId="77777777" w:rsidR="0048791C" w:rsidRDefault="0048791C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161D7369" w14:textId="07058123" w:rsidR="0048791C" w:rsidRDefault="0048791C" w:rsidP="00542634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Sukladno članku 65. Zakona o proračunu, Grad Čazma je utvrdio sredstva proračunske zalihe za 2025. godinu u iznosu 4.000,00 EUR, te su ona planirana 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u Razdjelu 003 –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 xml:space="preserve"> </w:t>
      </w:r>
      <w:r w:rsidRPr="00BA0B4C"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Upravni odjel za društvene djelatnosti, obrazovanje i odnose sa javnošću,  P01 1001A100105 -  Tekuća zaliha proračuna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en-GB"/>
        </w:rPr>
        <w:t>.</w:t>
      </w:r>
    </w:p>
    <w:p w14:paraId="61737159" w14:textId="43BEE12E" w:rsidR="008147D7" w:rsidRDefault="008147D7" w:rsidP="00542634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Zakon o proračunu u članku 66., stavak 3. propisuje obvezu gradonačelnika o tromjesečnom izvještavanju predstavničkog tijela o korištenju proračunske zalihe. Također, Odluka o </w:t>
      </w:r>
      <w:r w:rsidR="00EA240A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izvršavanju proračuna Grada Čazme za 2025. godinu </w:t>
      </w:r>
      <w:r w:rsidR="00FE7B0F">
        <w:rPr>
          <w:rFonts w:ascii="Times New Roman" w:eastAsia="Times New Roman" w:hAnsi="Times New Roman" w:cs="Times New Roman"/>
          <w:noProof w:val="0"/>
          <w:sz w:val="24"/>
          <w:szCs w:val="24"/>
        </w:rPr>
        <w:t>definira da se sredstva proračunske zalihe koriste za neplanirane ili nedovoljno planirane izdatke do visine određene Zakonom o proračunu</w:t>
      </w:r>
      <w:r w:rsidR="00542634">
        <w:rPr>
          <w:rFonts w:ascii="Times New Roman" w:eastAsia="Times New Roman" w:hAnsi="Times New Roman" w:cs="Times New Roman"/>
          <w:noProof w:val="0"/>
          <w:sz w:val="24"/>
          <w:szCs w:val="24"/>
        </w:rPr>
        <w:t>, a najviše</w:t>
      </w:r>
      <w:r w:rsidR="00FE7B0F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do 0,5% prihoda proračuna bez primitaka.</w:t>
      </w:r>
      <w:r w:rsidR="005638A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</w:p>
    <w:p w14:paraId="070143E8" w14:textId="77777777" w:rsidR="00D9682B" w:rsidRDefault="00D9682B" w:rsidP="00542634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5D41D15" w14:textId="6D927B20" w:rsidR="00D9682B" w:rsidRDefault="00D9682B" w:rsidP="00D9682B">
      <w:pPr>
        <w:spacing w:after="160" w:line="259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</w:rPr>
        <w:t>Pojašnjenje</w:t>
      </w:r>
    </w:p>
    <w:p w14:paraId="729AD93E" w14:textId="006D211E" w:rsidR="00D9682B" w:rsidRDefault="00D9682B" w:rsidP="00D9682B">
      <w:pPr>
        <w:spacing w:after="160" w:line="259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</w:rPr>
        <w:tab/>
        <w:t xml:space="preserve">U razdoblju od 1. siječnja 2025. do 31.12.2025. Grad Čazma nije koristio sredstva tekuće zalihe proračuna. </w:t>
      </w:r>
    </w:p>
    <w:p w14:paraId="509CA292" w14:textId="77777777" w:rsidR="00D9682B" w:rsidRPr="008147D7" w:rsidRDefault="00D9682B" w:rsidP="00542634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sectPr w:rsidR="00D9682B" w:rsidRPr="008147D7">
      <w:head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949F8" w14:textId="77777777" w:rsidR="000C4284" w:rsidRDefault="000C4284" w:rsidP="00A0402E">
      <w:r>
        <w:separator/>
      </w:r>
    </w:p>
  </w:endnote>
  <w:endnote w:type="continuationSeparator" w:id="0">
    <w:p w14:paraId="52C3C752" w14:textId="77777777" w:rsidR="000C4284" w:rsidRDefault="000C4284" w:rsidP="00A04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55666" w14:textId="77777777" w:rsidR="000C4284" w:rsidRDefault="000C4284" w:rsidP="00A0402E">
      <w:r>
        <w:separator/>
      </w:r>
    </w:p>
  </w:footnote>
  <w:footnote w:type="continuationSeparator" w:id="0">
    <w:p w14:paraId="1356642E" w14:textId="77777777" w:rsidR="000C4284" w:rsidRDefault="000C4284" w:rsidP="00A04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0D840" w14:textId="301713F4" w:rsidR="00A0402E" w:rsidRDefault="00284519">
    <w:pPr>
      <w:pStyle w:val="Zaglavlje"/>
    </w:pPr>
    <w:r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811C7"/>
    <w:rsid w:val="000C4284"/>
    <w:rsid w:val="000C5179"/>
    <w:rsid w:val="000C590E"/>
    <w:rsid w:val="002604AA"/>
    <w:rsid w:val="00275B0C"/>
    <w:rsid w:val="00284519"/>
    <w:rsid w:val="00347D72"/>
    <w:rsid w:val="00357E30"/>
    <w:rsid w:val="003F65C1"/>
    <w:rsid w:val="00421BCF"/>
    <w:rsid w:val="0048791C"/>
    <w:rsid w:val="004977D2"/>
    <w:rsid w:val="00542634"/>
    <w:rsid w:val="005638A5"/>
    <w:rsid w:val="005B4DA0"/>
    <w:rsid w:val="00616DE7"/>
    <w:rsid w:val="00693AB1"/>
    <w:rsid w:val="006B193A"/>
    <w:rsid w:val="006C3B59"/>
    <w:rsid w:val="00706249"/>
    <w:rsid w:val="007109AE"/>
    <w:rsid w:val="007A6BD9"/>
    <w:rsid w:val="008147D7"/>
    <w:rsid w:val="008A562A"/>
    <w:rsid w:val="008C2847"/>
    <w:rsid w:val="008C5FE5"/>
    <w:rsid w:val="009B7A12"/>
    <w:rsid w:val="00A0402E"/>
    <w:rsid w:val="00A050E8"/>
    <w:rsid w:val="00A836D0"/>
    <w:rsid w:val="00AC35DA"/>
    <w:rsid w:val="00AF6E8B"/>
    <w:rsid w:val="00B92D0F"/>
    <w:rsid w:val="00BA0B4C"/>
    <w:rsid w:val="00C9578C"/>
    <w:rsid w:val="00D707B3"/>
    <w:rsid w:val="00D9682B"/>
    <w:rsid w:val="00E42407"/>
    <w:rsid w:val="00E55405"/>
    <w:rsid w:val="00EA240A"/>
    <w:rsid w:val="00F715F5"/>
    <w:rsid w:val="00FE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F446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0402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0402E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A0402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0402E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Dragana Štaba Posavac</cp:lastModifiedBy>
  <cp:revision>13</cp:revision>
  <cp:lastPrinted>2014-11-26T14:09:00Z</cp:lastPrinted>
  <dcterms:created xsi:type="dcterms:W3CDTF">2026-02-17T07:34:00Z</dcterms:created>
  <dcterms:modified xsi:type="dcterms:W3CDTF">2026-03-06T12:41:00Z</dcterms:modified>
</cp:coreProperties>
</file>